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048" w14:textId="5D0F9BC6" w:rsidR="00805AF0" w:rsidRPr="00DC06FB" w:rsidRDefault="00805AF0" w:rsidP="00805AF0">
      <w:pPr>
        <w:pStyle w:val="Ttulododocumento"/>
        <w:spacing w:before="0" w:after="0" w:line="360" w:lineRule="auto"/>
        <w:rPr>
          <w:rFonts w:ascii="Aptos" w:hAnsi="Aptos" w:cs="Arial"/>
          <w:sz w:val="28"/>
          <w:szCs w:val="28"/>
        </w:rPr>
      </w:pPr>
      <w:r w:rsidRPr="00DC06FB">
        <w:rPr>
          <w:rFonts w:ascii="Aptos" w:hAnsi="Aptos" w:cs="Arial"/>
          <w:sz w:val="28"/>
          <w:szCs w:val="28"/>
        </w:rPr>
        <w:t>ANEXO V</w:t>
      </w:r>
      <w:r w:rsidR="00B868D9" w:rsidRPr="00DC06FB">
        <w:rPr>
          <w:rFonts w:ascii="Aptos" w:hAnsi="Aptos" w:cs="Arial"/>
          <w:sz w:val="28"/>
          <w:szCs w:val="28"/>
        </w:rPr>
        <w:t>I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DC06FB" w:rsidRPr="00DC06FB" w14:paraId="396EB21F" w14:textId="77777777" w:rsidTr="0024491F">
        <w:tc>
          <w:tcPr>
            <w:tcW w:w="0" w:type="auto"/>
            <w:shd w:val="clear" w:color="auto" w:fill="BFBFBF" w:themeFill="background1" w:themeFillShade="BF"/>
          </w:tcPr>
          <w:p w14:paraId="31DC1074" w14:textId="77777777" w:rsidR="00DC06FB" w:rsidRPr="00DC06FB" w:rsidRDefault="00A31728" w:rsidP="00A317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DC06FB">
              <w:rPr>
                <w:rFonts w:ascii="Aptos" w:hAnsi="Aptos"/>
                <w:b/>
                <w:bCs/>
              </w:rPr>
              <w:t xml:space="preserve">PRODUTOS TÉCNICO-TECNOLÓGICOS </w:t>
            </w:r>
            <w:r w:rsidR="00DC06FB" w:rsidRPr="00DC06FB">
              <w:rPr>
                <w:rFonts w:ascii="Aptos" w:hAnsi="Aptos"/>
                <w:b/>
                <w:bCs/>
              </w:rPr>
              <w:t>DO PROGRAMA DE PÓS-GRADUAÇÃO EM SAÚDE AMBIENTAL E SAÚDE DO TRABALHADOR PPGSAT</w:t>
            </w:r>
          </w:p>
          <w:p w14:paraId="427FBC7C" w14:textId="089F3AC1" w:rsidR="00A31728" w:rsidRPr="00DC06FB" w:rsidRDefault="00A31728" w:rsidP="00DC06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DC06FB">
              <w:rPr>
                <w:rFonts w:ascii="Aptos" w:hAnsi="Aptos"/>
                <w:b/>
                <w:bCs/>
              </w:rPr>
              <w:t>(ÁREA 22 – SAÚDE COLETIVA)</w:t>
            </w:r>
          </w:p>
        </w:tc>
      </w:tr>
    </w:tbl>
    <w:p w14:paraId="4211F0B5" w14:textId="77777777" w:rsidR="00DC06FB" w:rsidRDefault="00DC06FB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2A72FBF" w14:textId="056A150B" w:rsidR="00E93BC5" w:rsidRPr="00E93BC5" w:rsidRDefault="00E93BC5" w:rsidP="00E93BC5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E93BC5">
        <w:rPr>
          <w:rFonts w:ascii="Aptos" w:hAnsi="Aptos"/>
          <w:color w:val="000000"/>
          <w:sz w:val="22"/>
          <w:szCs w:val="22"/>
        </w:rPr>
        <w:t>A CAPES define os Produtos Técnicos/Tecnológicos (PTT) da Área de Saúde Coletiva como produções aplicadas da Pós-</w:t>
      </w:r>
      <w:r>
        <w:rPr>
          <w:rFonts w:ascii="Aptos" w:hAnsi="Aptos"/>
          <w:color w:val="000000"/>
          <w:sz w:val="22"/>
          <w:szCs w:val="22"/>
        </w:rPr>
        <w:t>g</w:t>
      </w:r>
      <w:r w:rsidRPr="00E93BC5">
        <w:rPr>
          <w:rFonts w:ascii="Aptos" w:hAnsi="Aptos"/>
          <w:color w:val="000000"/>
          <w:sz w:val="22"/>
          <w:szCs w:val="22"/>
        </w:rPr>
        <w:t xml:space="preserve">raduação, além de bibliográficas, que tenham relevância social, utilidade prática, aplicabilidade, impacto, inovação. </w:t>
      </w:r>
    </w:p>
    <w:p w14:paraId="6999E5A1" w14:textId="1648BA28" w:rsidR="00805AF0" w:rsidRDefault="00805AF0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199"/>
        <w:gridCol w:w="4430"/>
        <w:gridCol w:w="3560"/>
      </w:tblGrid>
      <w:tr w:rsidR="007F621A" w:rsidRPr="006B3742" w14:paraId="126F09C2" w14:textId="77777777" w:rsidTr="006B3742">
        <w:trPr>
          <w:trHeight w:val="320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107A" w14:textId="77777777" w:rsidR="007F621A" w:rsidRPr="006B3742" w:rsidRDefault="007F621A" w:rsidP="006B3742">
            <w:pPr>
              <w:pStyle w:val="Corpo"/>
              <w:jc w:val="center"/>
              <w:rPr>
                <w:rFonts w:ascii="Aptos" w:hAnsi="Aptos"/>
                <w:b/>
                <w:bCs/>
              </w:rPr>
            </w:pPr>
            <w:r w:rsidRPr="006B3742">
              <w:rPr>
                <w:rStyle w:val="Nenhum"/>
                <w:rFonts w:ascii="Aptos" w:hAnsi="Aptos"/>
                <w:b/>
                <w:bCs/>
                <w:lang w:val="en-US"/>
              </w:rPr>
              <w:t>Produto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0635" w14:textId="77777777" w:rsidR="007F621A" w:rsidRPr="006B3742" w:rsidRDefault="007F621A" w:rsidP="006B3742">
            <w:pPr>
              <w:pStyle w:val="Corpo"/>
              <w:jc w:val="center"/>
              <w:rPr>
                <w:rFonts w:ascii="Aptos" w:hAnsi="Aptos"/>
                <w:b/>
                <w:bCs/>
              </w:rPr>
            </w:pPr>
            <w:r w:rsidRPr="006B3742">
              <w:rPr>
                <w:rStyle w:val="Nenhum"/>
                <w:rFonts w:ascii="Aptos" w:hAnsi="Aptos"/>
                <w:b/>
                <w:bCs/>
                <w:lang w:val="en-US"/>
              </w:rPr>
              <w:t>Definição / Características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CE02" w14:textId="77777777" w:rsidR="007F621A" w:rsidRPr="006B3742" w:rsidRDefault="007F621A" w:rsidP="006B3742">
            <w:pPr>
              <w:pStyle w:val="Corpo"/>
              <w:jc w:val="center"/>
              <w:rPr>
                <w:rFonts w:ascii="Aptos" w:hAnsi="Aptos"/>
                <w:b/>
                <w:bCs/>
              </w:rPr>
            </w:pPr>
            <w:r w:rsidRPr="006B3742">
              <w:rPr>
                <w:rStyle w:val="Nenhum"/>
                <w:rFonts w:ascii="Aptos" w:hAnsi="Aptos"/>
                <w:b/>
                <w:bCs/>
                <w:lang w:val="en-US"/>
              </w:rPr>
              <w:t>Exemplos / Observações</w:t>
            </w:r>
          </w:p>
        </w:tc>
      </w:tr>
      <w:tr w:rsidR="007F621A" w:rsidRPr="007F621A" w14:paraId="4E5ED80B" w14:textId="77777777" w:rsidTr="006B3742">
        <w:trPr>
          <w:trHeight w:val="1370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0D0D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Produto bibliográfico técnico/tecnológico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F80B1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Produção escrita/documental com foco técnico ou tecnológico, que aplica conhecimentos científicos num contexto prático; distinto de publicação puramente científica. Pode ser artigo em revista técnica, capítulo de livro técnico, resenha, relatório técnico com cunho aplicacional.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DF6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Artigo em revista voltada para práticas de saúde pública ou tecnologia em saúde; capítulo de livro sobre procedimentos técnicos; resenha ou crítica técnica aplicada; Livro didático ou paradidático; Cartilha, manual, guia ou protocolo técnico; Texto em catálogo de exposição ou de programa de espetáculo.</w:t>
            </w:r>
          </w:p>
        </w:tc>
      </w:tr>
      <w:tr w:rsidR="007F621A" w:rsidRPr="007F621A" w14:paraId="24974945" w14:textId="77777777" w:rsidTr="006B3742">
        <w:trPr>
          <w:trHeight w:val="1362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FA3C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Patentes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9A46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Invenção ou modelo de utilidade, reconhecido pelo Estado, que confere exclusividade ao titular; protege soluções novas, com aplicação industrial ou uso prático, quando atendidos requisitos de novidade, atividade inventiva e aplicabilidade industrial.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5E66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Depósito de patente, concessão ou licença; Averbação de registro de software.</w:t>
            </w:r>
          </w:p>
        </w:tc>
      </w:tr>
      <w:tr w:rsidR="007F621A" w:rsidRPr="007F621A" w14:paraId="066F2981" w14:textId="77777777" w:rsidTr="006B3742">
        <w:trPr>
          <w:trHeight w:val="1352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AA37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Tecnologia social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EB21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Método/produto/processo transformador que surge em interação com a população, apropriado por ela, com impacto positivo social, de baixo custo, replicável, aplicável às condições locais; voltado para inclusão social ou melhoria de condições de vida.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2117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Projeto de saúde comunitária, práticas de intervenção local, metodologias de engajamento social para promoção da saúde; manual ou cartilha; protocolo de treinamento. metodologia de gestão comunitária para garantir a sustentabilidade.</w:t>
            </w:r>
          </w:p>
        </w:tc>
      </w:tr>
      <w:tr w:rsidR="007F621A" w:rsidRPr="007F621A" w14:paraId="23241140" w14:textId="77777777" w:rsidTr="006B3742">
        <w:trPr>
          <w:trHeight w:val="1400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EB8A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lastRenderedPageBreak/>
              <w:t>Cursos de formação profissional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F761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Curso voltado à capacitação prática ou técnico-profissional, com conteúdos alinhados às competências exigidas para saúde coletiva ou para atuação profissional em saúde pública; pode ser curso de curta duração ou de extensão, desde que organizado formalmente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33F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Curso de capacitação em vigilância sanitária, oficina de saúde pública, curso de formação de agentes de saúde etc.</w:t>
            </w:r>
          </w:p>
        </w:tc>
      </w:tr>
      <w:tr w:rsidR="007F621A" w:rsidRPr="007F621A" w14:paraId="3619A592" w14:textId="77777777" w:rsidTr="006B3742">
        <w:trPr>
          <w:trHeight w:val="1123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69686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Produto de editoração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5717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Produção editorial que gere ou contribua para materiais colecionados, organizados, publicados, com trabalho intelectual e gráfico; livros, coletâneas, catálogos, enciclopédias, edições especiais etc., voltados à saúde coletiva.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EE0F9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Livro técnico, coletânea de artigos práticos, catálogo de projetos de extensão em saúde, edição de revista técnica; e-book ou material didático digital.</w:t>
            </w:r>
          </w:p>
        </w:tc>
      </w:tr>
      <w:tr w:rsidR="007F621A" w:rsidRPr="007F621A" w14:paraId="0E050510" w14:textId="77777777" w:rsidTr="006B3742">
        <w:trPr>
          <w:trHeight w:val="1370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A836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Material didático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CEC0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Recursos de apoio ao ensino/aprendizagem, com finalidade instrucional, pedagógica ou de capacitação, para uso em ambientes educacionais ou de formação profissional em saúde; podem ser manuais, apostilas, sequências didáticas, vídeos educacionais, módulos de ensino etc.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58E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Apostila para curso de saúde pública, guia de procedimentos para agentes de saúde, vídeos educativos, módulos de ensino à distância; vídeo-aulas, aplicativos, softwares educacionais.</w:t>
            </w:r>
          </w:p>
        </w:tc>
      </w:tr>
      <w:tr w:rsidR="007F621A" w:rsidRPr="007F621A" w14:paraId="6D507C80" w14:textId="77777777" w:rsidTr="006B3742">
        <w:trPr>
          <w:trHeight w:val="158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EF4E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Software / aplicativo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81E4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Programa de computador, aplicativo móvel ou ferramenta digital (software/web/app) desenvolvido para atender uma necessidade prática em saúde coletiva; pode incluir sistemas de gestão, monitoramento, coleta de dados, educação em saúde, telemedicina etc. Deve ser funcional, documentado e utilizável.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D9BA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App para registro de seguidores de programa de vacinação; sistema para coleta de dados epidemiológicos; software de simulação de cenários epidemiológicos.</w:t>
            </w:r>
          </w:p>
        </w:tc>
      </w:tr>
      <w:tr w:rsidR="007F621A" w:rsidRPr="007F621A" w14:paraId="60222A45" w14:textId="77777777" w:rsidTr="006B3742">
        <w:trPr>
          <w:trHeight w:val="1415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22BA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Evento organizado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2068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Organização de evento científico-técnico ou de extensão relacionado à saúde coletiva, como seminários, oficinas, fóruns, conferências, simpósios; que envolva planejamento, programação, execução, e cujo conteúdo contribua para a área.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10B10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Oficina sobre políticas públicas de saúde, simpósio sobre determinantes sociais da saúde, fórum regional de saúde coletiva.</w:t>
            </w:r>
          </w:p>
        </w:tc>
      </w:tr>
      <w:tr w:rsidR="007F621A" w:rsidRPr="007F621A" w14:paraId="28F9D1AC" w14:textId="77777777" w:rsidTr="006B3742">
        <w:trPr>
          <w:trHeight w:val="158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818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lastRenderedPageBreak/>
              <w:t>Produto de comunicação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86BB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Meios ou instrumentos de divulgação de conhecimento em saúde coletiva para públicos variados; comunicação técnica, divulgação científica, campanhas, produção de mídia (rádio, TV, vídeos, websites), folhetos etc.; pode estabelecer interface entre comunidade, serviços de saúde e academia.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B5B5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Produção de vídeo educativo para comunidade, site ou blog de divulgação de resultados de pesquisa, conteúdo para redes sociais (posts, stories, GIFs), boletim informativo sobre saúde pública; manual de implementação da campanha; cartazes e banner.</w:t>
            </w:r>
          </w:p>
        </w:tc>
      </w:tr>
      <w:tr w:rsidR="007F621A" w:rsidRPr="007F621A" w14:paraId="6A183AA5" w14:textId="77777777" w:rsidTr="006B3742">
        <w:trPr>
          <w:trHeight w:val="1352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D8323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Processo / tecnologia não patenteável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8C6A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Inovação ou técnica ou processo aplicado na prática, mas que não se enquadra como patenteável — pode não cumprir todos os critérios de patente, ou ser inaplicável legalmente para patente, mas que representa solução tecnológica ou processual útil.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88EA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Método de gestão de serviços de saúde, protocolo inovador de atendimento ou processo organizacional novo, melhoria de fluxos em unidades de saúde.</w:t>
            </w:r>
          </w:p>
        </w:tc>
      </w:tr>
      <w:tr w:rsidR="007F621A" w:rsidRPr="007F621A" w14:paraId="4A3584AD" w14:textId="77777777" w:rsidTr="006B3742">
        <w:trPr>
          <w:trHeight w:val="158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AA47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Relatório técnico conclusivo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3393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Documento técnico que sintetiza a conclusão de uma pesquisa ou projeto aplicado, com resultados, recomendações, avaliação, implicações práticas; serve para informar gestores, instituições ou comunidades sobre os desdobramentos de uma intervenção ou estudo aplicado.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3059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Relatório final de projeto de extensão; avaliação de programa de saúde implementado; relatório técnico de consultoria ou estudo aplicado.</w:t>
            </w:r>
          </w:p>
        </w:tc>
      </w:tr>
      <w:tr w:rsidR="007F621A" w:rsidRPr="007F621A" w14:paraId="78FD4B86" w14:textId="77777777" w:rsidTr="006B3742">
        <w:trPr>
          <w:trHeight w:val="1581"/>
        </w:trPr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B020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Manual / protocolo</w:t>
            </w:r>
          </w:p>
        </w:tc>
        <w:tc>
          <w:tcPr>
            <w:tcW w:w="2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75D7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 xml:space="preserve">Documento orientador que descreve procedimentos, normas, métodos ou práticas a serem seguidos, com detalhamento técnico; protocolos clínicos, guias operacionais, manuais de procedimentos para serviços ou agentes comunitários, protocolos de vigilância ou controle etc. Deve ser claro, acessível e aplicável. 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BE7B" w14:textId="77777777" w:rsidR="007F621A" w:rsidRPr="007F621A" w:rsidRDefault="007F621A" w:rsidP="00C8615A">
            <w:pPr>
              <w:pStyle w:val="Corpo"/>
              <w:rPr>
                <w:rFonts w:ascii="Aptos" w:hAnsi="Aptos"/>
              </w:rPr>
            </w:pPr>
            <w:r w:rsidRPr="007F621A">
              <w:rPr>
                <w:rStyle w:val="Nenhum"/>
                <w:rFonts w:ascii="Aptos" w:hAnsi="Aptos"/>
                <w:lang w:val="en-US"/>
              </w:rPr>
              <w:t>Manual de boas práticas para serviços de saúde; protocolo de vigilância epidemiológica; guia de práticas sanitárias ou de biossegurança.</w:t>
            </w:r>
          </w:p>
        </w:tc>
      </w:tr>
    </w:tbl>
    <w:p w14:paraId="2B37CD2B" w14:textId="17BDE12C" w:rsidR="00621AA6" w:rsidRPr="005218F0" w:rsidRDefault="00621AA6" w:rsidP="007F621A">
      <w:pPr>
        <w:spacing w:line="360" w:lineRule="auto"/>
        <w:jc w:val="both"/>
        <w:rPr>
          <w:rFonts w:ascii="Aptos" w:hAnsi="Aptos"/>
          <w:color w:val="000000"/>
        </w:rPr>
      </w:pPr>
    </w:p>
    <w:sectPr w:rsidR="00621AA6" w:rsidRPr="005218F0" w:rsidSect="00805AF0">
      <w:headerReference w:type="default" r:id="rId6"/>
      <w:footerReference w:type="default" r:id="rId7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E02D" w14:textId="77777777" w:rsidR="006B3742" w:rsidRDefault="006B3742">
      <w:r>
        <w:separator/>
      </w:r>
    </w:p>
  </w:endnote>
  <w:endnote w:type="continuationSeparator" w:id="0">
    <w:p w14:paraId="059E46D4" w14:textId="77777777" w:rsidR="006B3742" w:rsidRDefault="006B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805AF0" w:rsidRPr="00B3115C" w14:paraId="19E06947" w14:textId="77777777" w:rsidTr="004F32C9">
      <w:tc>
        <w:tcPr>
          <w:tcW w:w="10119" w:type="dxa"/>
          <w:tcBorders>
            <w:top w:val="nil"/>
          </w:tcBorders>
        </w:tcPr>
        <w:p w14:paraId="41AAF4DC" w14:textId="77777777" w:rsidR="00805AF0" w:rsidRPr="003C497D" w:rsidRDefault="00805AF0" w:rsidP="004F32C9">
          <w:pPr>
            <w:pBdr>
              <w:top w:val="single" w:sz="4" w:space="1" w:color="auto"/>
            </w:pBd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Av. João Naves de Ávila, 2121 - Bloco 3E, Sala 3E128 - Campus Santa Mônica</w:t>
          </w:r>
        </w:p>
        <w:p w14:paraId="5680674C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Bairro Santa Mônica - CEP: 38.400-902 - Uberlândia - Minas Gerais - Brasil</w:t>
          </w:r>
        </w:p>
        <w:p w14:paraId="1707C479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Tel: + 55 34 3239-4331 ou +55 34 3239-4591</w:t>
          </w:r>
        </w:p>
        <w:p w14:paraId="20092515" w14:textId="77777777" w:rsidR="00805AF0" w:rsidRPr="004F32C9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E-mail: ppgsat@ig.ufu.br</w:t>
          </w:r>
        </w:p>
      </w:tc>
    </w:tr>
    <w:tr w:rsidR="00805AF0" w:rsidRPr="00B3115C" w14:paraId="4135BD97" w14:textId="77777777" w:rsidTr="009D1B6A">
      <w:tc>
        <w:tcPr>
          <w:tcW w:w="10119" w:type="dxa"/>
        </w:tcPr>
        <w:p w14:paraId="513389AE" w14:textId="77777777" w:rsidR="00805AF0" w:rsidRPr="008D781D" w:rsidRDefault="00805AF0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45B71A7A" w14:textId="77777777" w:rsidR="00805AF0" w:rsidRDefault="00805AF0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B4A4" w14:textId="77777777" w:rsidR="006B3742" w:rsidRDefault="006B3742">
      <w:r>
        <w:separator/>
      </w:r>
    </w:p>
  </w:footnote>
  <w:footnote w:type="continuationSeparator" w:id="0">
    <w:p w14:paraId="318DC084" w14:textId="77777777" w:rsidR="006B3742" w:rsidRDefault="006B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805AF0" w:rsidRPr="00530E77" w14:paraId="14F0BE44" w14:textId="77777777" w:rsidTr="000441EF">
      <w:tc>
        <w:tcPr>
          <w:tcW w:w="1242" w:type="dxa"/>
          <w:vAlign w:val="center"/>
        </w:tcPr>
        <w:p w14:paraId="5C97FEFB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039FB995" wp14:editId="219F3D6E">
                <wp:extent cx="695325" cy="733425"/>
                <wp:effectExtent l="0" t="0" r="9525" b="9525"/>
                <wp:docPr id="623864783" name="Imagem 623864783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4E1DC2D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32"/>
              <w:szCs w:val="32"/>
            </w:rPr>
            <w:t>Universidade Federal de Uberlândia</w:t>
          </w:r>
        </w:p>
        <w:p w14:paraId="66C996C3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28"/>
              <w:szCs w:val="28"/>
            </w:rPr>
            <w:t>Instituto de Geografia</w:t>
          </w:r>
        </w:p>
        <w:p w14:paraId="5EA9A80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5"/>
              <w:szCs w:val="25"/>
            </w:rPr>
          </w:pPr>
          <w:r w:rsidRPr="00B75BDD">
            <w:rPr>
              <w:rFonts w:asciiTheme="minorHAnsi" w:hAnsiTheme="minorHAnsi" w:cs="Arial"/>
              <w:sz w:val="25"/>
              <w:szCs w:val="25"/>
            </w:rPr>
            <w:t>Pós-graduação em Saúde Ambiental e Saúde do Trabalhador</w:t>
          </w:r>
        </w:p>
        <w:p w14:paraId="2DA10C89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</w:p>
      </w:tc>
      <w:tc>
        <w:tcPr>
          <w:tcW w:w="1560" w:type="dxa"/>
          <w:vAlign w:val="center"/>
        </w:tcPr>
        <w:p w14:paraId="166AA961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1303BA">
            <w:rPr>
              <w:rFonts w:cs="Arial"/>
              <w:noProof/>
              <w:sz w:val="32"/>
              <w:szCs w:val="32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04768E" wp14:editId="47451E5F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640080" cy="640080"/>
                <wp:effectExtent l="0" t="0" r="7620" b="7620"/>
                <wp:wrapNone/>
                <wp:docPr id="913425814" name="Imagem 2" descr="Desenho com traços pretos em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797315" name="Imagem 2" descr="Desenho com traços pretos em fundo branc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BFE9E0" w14:textId="77777777" w:rsidR="00805AF0" w:rsidRPr="006A11FC" w:rsidRDefault="00805AF0" w:rsidP="00DE449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QtURZPiKSDfxcoExjthtl1nCG0U7K4HCbF+oGWJpGHn326fPKero99a/vi/4+hBqZJKxupiAjf8tqYxiPQxQg==" w:salt="gAmDSbxOSDF7jpxWS9eX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F0"/>
    <w:rsid w:val="0006255F"/>
    <w:rsid w:val="000675D3"/>
    <w:rsid w:val="000A698F"/>
    <w:rsid w:val="000B1400"/>
    <w:rsid w:val="000C0F2C"/>
    <w:rsid w:val="000F266F"/>
    <w:rsid w:val="00112A58"/>
    <w:rsid w:val="001221CE"/>
    <w:rsid w:val="00185E82"/>
    <w:rsid w:val="001938E2"/>
    <w:rsid w:val="001E68FB"/>
    <w:rsid w:val="00241214"/>
    <w:rsid w:val="00243311"/>
    <w:rsid w:val="0024491F"/>
    <w:rsid w:val="00282248"/>
    <w:rsid w:val="002A0DC1"/>
    <w:rsid w:val="002B67D9"/>
    <w:rsid w:val="002C5EB6"/>
    <w:rsid w:val="002C6585"/>
    <w:rsid w:val="002E7B87"/>
    <w:rsid w:val="0032043E"/>
    <w:rsid w:val="003240CD"/>
    <w:rsid w:val="00356E3A"/>
    <w:rsid w:val="0036178F"/>
    <w:rsid w:val="003C7C06"/>
    <w:rsid w:val="003D1D77"/>
    <w:rsid w:val="00411248"/>
    <w:rsid w:val="00411630"/>
    <w:rsid w:val="0042659E"/>
    <w:rsid w:val="0046163B"/>
    <w:rsid w:val="004779A9"/>
    <w:rsid w:val="004B54F6"/>
    <w:rsid w:val="004C3B82"/>
    <w:rsid w:val="004E296B"/>
    <w:rsid w:val="00517167"/>
    <w:rsid w:val="00522BA8"/>
    <w:rsid w:val="00524EA1"/>
    <w:rsid w:val="00576A8E"/>
    <w:rsid w:val="00580AD0"/>
    <w:rsid w:val="005A578A"/>
    <w:rsid w:val="005B10A2"/>
    <w:rsid w:val="005B7892"/>
    <w:rsid w:val="005D6F53"/>
    <w:rsid w:val="00617EF6"/>
    <w:rsid w:val="00621AA6"/>
    <w:rsid w:val="00642D3D"/>
    <w:rsid w:val="00691958"/>
    <w:rsid w:val="006B137A"/>
    <w:rsid w:val="006B3742"/>
    <w:rsid w:val="006D0419"/>
    <w:rsid w:val="006E5486"/>
    <w:rsid w:val="0070331A"/>
    <w:rsid w:val="007876ED"/>
    <w:rsid w:val="007C0C88"/>
    <w:rsid w:val="007D7375"/>
    <w:rsid w:val="007F621A"/>
    <w:rsid w:val="007F6528"/>
    <w:rsid w:val="007F74AA"/>
    <w:rsid w:val="00805AF0"/>
    <w:rsid w:val="00814751"/>
    <w:rsid w:val="00827D05"/>
    <w:rsid w:val="008563A4"/>
    <w:rsid w:val="00871ADA"/>
    <w:rsid w:val="00877243"/>
    <w:rsid w:val="008825A3"/>
    <w:rsid w:val="00886A4B"/>
    <w:rsid w:val="008D7B5B"/>
    <w:rsid w:val="00911ABF"/>
    <w:rsid w:val="00915118"/>
    <w:rsid w:val="00917B4A"/>
    <w:rsid w:val="0093289B"/>
    <w:rsid w:val="0095505B"/>
    <w:rsid w:val="00984A12"/>
    <w:rsid w:val="009C227B"/>
    <w:rsid w:val="009C2646"/>
    <w:rsid w:val="009C5C66"/>
    <w:rsid w:val="009E4D83"/>
    <w:rsid w:val="009F7070"/>
    <w:rsid w:val="00A17BA9"/>
    <w:rsid w:val="00A31728"/>
    <w:rsid w:val="00A7223E"/>
    <w:rsid w:val="00A949C6"/>
    <w:rsid w:val="00AC3534"/>
    <w:rsid w:val="00AD23CE"/>
    <w:rsid w:val="00AE222B"/>
    <w:rsid w:val="00B032A2"/>
    <w:rsid w:val="00B12B20"/>
    <w:rsid w:val="00B263B9"/>
    <w:rsid w:val="00B868D9"/>
    <w:rsid w:val="00B94FE2"/>
    <w:rsid w:val="00B9576B"/>
    <w:rsid w:val="00BB49C3"/>
    <w:rsid w:val="00C35949"/>
    <w:rsid w:val="00C62C9A"/>
    <w:rsid w:val="00C832E8"/>
    <w:rsid w:val="00CA085C"/>
    <w:rsid w:val="00CB6840"/>
    <w:rsid w:val="00CF1B57"/>
    <w:rsid w:val="00D559A5"/>
    <w:rsid w:val="00D967F9"/>
    <w:rsid w:val="00DB1A22"/>
    <w:rsid w:val="00DC06FB"/>
    <w:rsid w:val="00DC165A"/>
    <w:rsid w:val="00E12D49"/>
    <w:rsid w:val="00E52F8E"/>
    <w:rsid w:val="00E55D07"/>
    <w:rsid w:val="00E93BC5"/>
    <w:rsid w:val="00EA3453"/>
    <w:rsid w:val="00EC6B81"/>
    <w:rsid w:val="00EE4595"/>
    <w:rsid w:val="00F33DE8"/>
    <w:rsid w:val="00F34EC3"/>
    <w:rsid w:val="00F43783"/>
    <w:rsid w:val="00F46DFA"/>
    <w:rsid w:val="00F47D65"/>
    <w:rsid w:val="00FC77B5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BA"/>
  <w15:chartTrackingRefBased/>
  <w15:docId w15:val="{FB335041-DFAD-42E0-8D38-7ECA2DE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5AF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A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AF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AF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5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AF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5A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A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A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Rodap">
    <w:name w:val="footer"/>
    <w:basedOn w:val="Normal"/>
    <w:link w:val="RodapChar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805A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table" w:styleId="Tabelacomgrade">
    <w:name w:val="Table Grid"/>
    <w:basedOn w:val="Tabelanormal"/>
    <w:uiPriority w:val="39"/>
    <w:rsid w:val="00805A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805AF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805AF0"/>
  </w:style>
  <w:style w:type="table" w:customStyle="1" w:styleId="TableNormal">
    <w:name w:val="Table Normal"/>
    <w:rsid w:val="00EE45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5015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 Elizete Avelar</dc:creator>
  <cp:keywords/>
  <dc:description/>
  <cp:lastModifiedBy>Ibis Elizete Avelar</cp:lastModifiedBy>
  <cp:revision>9</cp:revision>
  <dcterms:created xsi:type="dcterms:W3CDTF">2025-10-17T13:04:00Z</dcterms:created>
  <dcterms:modified xsi:type="dcterms:W3CDTF">2025-10-17T13:30:00Z</dcterms:modified>
</cp:coreProperties>
</file>